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22"/>
        <w:tblW w:w="13204" w:type="dxa"/>
        <w:tblLook w:val="04A0" w:firstRow="1" w:lastRow="0" w:firstColumn="1" w:lastColumn="0" w:noHBand="0" w:noVBand="1"/>
      </w:tblPr>
      <w:tblGrid>
        <w:gridCol w:w="3145"/>
        <w:gridCol w:w="5494"/>
        <w:gridCol w:w="1294"/>
        <w:gridCol w:w="3271"/>
      </w:tblGrid>
      <w:tr w:rsidR="00A17517" w14:paraId="1B2394F1" w14:textId="77777777" w:rsidTr="00A17517">
        <w:trPr>
          <w:trHeight w:val="530"/>
        </w:trPr>
        <w:tc>
          <w:tcPr>
            <w:tcW w:w="13204" w:type="dxa"/>
            <w:gridSpan w:val="4"/>
            <w:shd w:val="clear" w:color="auto" w:fill="000000" w:themeFill="text1"/>
            <w:vAlign w:val="center"/>
          </w:tcPr>
          <w:p w14:paraId="43DD4818" w14:textId="362B8501" w:rsidR="00A17517" w:rsidRPr="00A17517" w:rsidRDefault="00A17517" w:rsidP="00A17517">
            <w:pPr>
              <w:rPr>
                <w:b/>
                <w:bCs/>
                <w:sz w:val="32"/>
                <w:szCs w:val="32"/>
              </w:rPr>
            </w:pPr>
            <w:r w:rsidRPr="00A17517">
              <w:rPr>
                <w:b/>
                <w:bCs/>
                <w:sz w:val="32"/>
                <w:szCs w:val="32"/>
              </w:rPr>
              <w:t>AAPP Collegiate Chapter of the Year Award Rubric</w:t>
            </w:r>
          </w:p>
        </w:tc>
      </w:tr>
      <w:tr w:rsidR="001005F4" w14:paraId="1FA593BF" w14:textId="77777777" w:rsidTr="00A17517">
        <w:trPr>
          <w:trHeight w:val="351"/>
        </w:trPr>
        <w:tc>
          <w:tcPr>
            <w:tcW w:w="3145" w:type="dxa"/>
          </w:tcPr>
          <w:p w14:paraId="33F09062" w14:textId="5E7E78C7" w:rsidR="001005F4" w:rsidRPr="00104513" w:rsidRDefault="001005F4" w:rsidP="00A17517">
            <w:pPr>
              <w:rPr>
                <w:b/>
                <w:bCs/>
              </w:rPr>
            </w:pPr>
            <w:r w:rsidRPr="00104513">
              <w:rPr>
                <w:b/>
                <w:bCs/>
              </w:rPr>
              <w:t>Scoring Category</w:t>
            </w:r>
          </w:p>
        </w:tc>
        <w:tc>
          <w:tcPr>
            <w:tcW w:w="5494" w:type="dxa"/>
          </w:tcPr>
          <w:p w14:paraId="2EDFD2B3" w14:textId="71555D47" w:rsidR="001005F4" w:rsidRPr="00104513" w:rsidRDefault="001005F4" w:rsidP="00A17517">
            <w:pPr>
              <w:rPr>
                <w:b/>
                <w:bCs/>
              </w:rPr>
            </w:pPr>
            <w:r w:rsidRPr="00104513">
              <w:rPr>
                <w:b/>
                <w:bCs/>
              </w:rPr>
              <w:t>Scoring Criteria</w:t>
            </w:r>
          </w:p>
        </w:tc>
        <w:tc>
          <w:tcPr>
            <w:tcW w:w="1294" w:type="dxa"/>
          </w:tcPr>
          <w:p w14:paraId="5BA2E15C" w14:textId="627031F0" w:rsidR="001005F4" w:rsidRPr="00104513" w:rsidRDefault="001005F4" w:rsidP="00A17517">
            <w:pPr>
              <w:rPr>
                <w:b/>
                <w:bCs/>
              </w:rPr>
            </w:pPr>
            <w:r w:rsidRPr="00104513">
              <w:rPr>
                <w:b/>
                <w:bCs/>
              </w:rPr>
              <w:t>Score</w:t>
            </w:r>
          </w:p>
        </w:tc>
        <w:tc>
          <w:tcPr>
            <w:tcW w:w="3271" w:type="dxa"/>
          </w:tcPr>
          <w:p w14:paraId="12AC7971" w14:textId="65E4DE7C" w:rsidR="001005F4" w:rsidRPr="00104513" w:rsidRDefault="001005F4" w:rsidP="00A17517">
            <w:pPr>
              <w:rPr>
                <w:b/>
                <w:bCs/>
              </w:rPr>
            </w:pPr>
            <w:r w:rsidRPr="00104513">
              <w:rPr>
                <w:b/>
                <w:bCs/>
              </w:rPr>
              <w:t>Notes</w:t>
            </w:r>
          </w:p>
        </w:tc>
      </w:tr>
      <w:tr w:rsidR="001005F4" w14:paraId="1C5FB1A6" w14:textId="77777777" w:rsidTr="00104513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03277928" w14:textId="1D9D995D" w:rsidR="001005F4" w:rsidRDefault="00104513" w:rsidP="001005F4">
            <w:r>
              <w:t>Qualifying Requirement – 0 points</w:t>
            </w:r>
            <w:r w:rsidR="004C2ABD">
              <w:t xml:space="preserve"> </w:t>
            </w:r>
            <w:r w:rsidR="004C2ABD">
              <w:t>maximum</w:t>
            </w:r>
          </w:p>
        </w:tc>
      </w:tr>
      <w:tr w:rsidR="001005F4" w14:paraId="744AB58A" w14:textId="77777777" w:rsidTr="00A17517">
        <w:trPr>
          <w:trHeight w:val="351"/>
        </w:trPr>
        <w:tc>
          <w:tcPr>
            <w:tcW w:w="3145" w:type="dxa"/>
          </w:tcPr>
          <w:p w14:paraId="2E21B91D" w14:textId="5DC6BDB8" w:rsidR="001005F4" w:rsidRDefault="001005F4" w:rsidP="001005F4">
            <w:r>
              <w:t>Governing Documents</w:t>
            </w:r>
          </w:p>
        </w:tc>
        <w:tc>
          <w:tcPr>
            <w:tcW w:w="5494" w:type="dxa"/>
          </w:tcPr>
          <w:p w14:paraId="6CD2F0AA" w14:textId="77777777" w:rsidR="00B92F05" w:rsidRDefault="001005F4" w:rsidP="00A17517">
            <w:r>
              <w:t>Chapters must</w:t>
            </w:r>
            <w:r w:rsidR="002E503C">
              <w:t xml:space="preserve"> be in good standing with</w:t>
            </w:r>
            <w:r w:rsidR="000A2982">
              <w:t xml:space="preserve"> </w:t>
            </w:r>
            <w:r w:rsidR="00E87597">
              <w:t xml:space="preserve">the </w:t>
            </w:r>
            <w:r w:rsidR="000A2982">
              <w:t xml:space="preserve">AAPP </w:t>
            </w:r>
            <w:r w:rsidR="00E87597">
              <w:t>n</w:t>
            </w:r>
            <w:r w:rsidR="000A2982">
              <w:t>ational</w:t>
            </w:r>
            <w:r w:rsidR="00E87597">
              <w:t xml:space="preserve"> office</w:t>
            </w:r>
            <w:r w:rsidR="000A2982">
              <w:t>, including submission of the Annual Report by the July 15</w:t>
            </w:r>
            <w:r w:rsidR="000A2982" w:rsidRPr="00E87597">
              <w:rPr>
                <w:vertAlign w:val="superscript"/>
              </w:rPr>
              <w:t>th</w:t>
            </w:r>
            <w:r w:rsidR="000A2982">
              <w:t xml:space="preserve"> deadline.</w:t>
            </w:r>
          </w:p>
          <w:p w14:paraId="5EC76640" w14:textId="3178AAE2" w:rsidR="00A17517" w:rsidRDefault="00A17517" w:rsidP="00A17517"/>
        </w:tc>
        <w:tc>
          <w:tcPr>
            <w:tcW w:w="1294" w:type="dxa"/>
          </w:tcPr>
          <w:p w14:paraId="22AA817D" w14:textId="2524F1EF" w:rsidR="001005F4" w:rsidRDefault="001005F4" w:rsidP="001005F4">
            <w:r>
              <w:t>N/A</w:t>
            </w:r>
          </w:p>
        </w:tc>
        <w:tc>
          <w:tcPr>
            <w:tcW w:w="3271" w:type="dxa"/>
          </w:tcPr>
          <w:p w14:paraId="023662E5" w14:textId="3D721C99" w:rsidR="001005F4" w:rsidRDefault="001005F4" w:rsidP="001005F4">
            <w:r>
              <w:t xml:space="preserve">No points awarded as this </w:t>
            </w:r>
            <w:proofErr w:type="gramStart"/>
            <w:r>
              <w:t>is</w:t>
            </w:r>
            <w:proofErr w:type="gramEnd"/>
            <w:r>
              <w:t xml:space="preserve"> required for all chapters</w:t>
            </w:r>
            <w:r w:rsidR="00960BE6">
              <w:t xml:space="preserve"> to be considered for this award</w:t>
            </w:r>
            <w:r>
              <w:t xml:space="preserve">. </w:t>
            </w:r>
          </w:p>
        </w:tc>
      </w:tr>
      <w:tr w:rsidR="005E4234" w14:paraId="45DCD85A" w14:textId="77777777" w:rsidTr="00FA5189">
        <w:trPr>
          <w:trHeight w:val="1061"/>
        </w:trPr>
        <w:tc>
          <w:tcPr>
            <w:tcW w:w="3145" w:type="dxa"/>
          </w:tcPr>
          <w:p w14:paraId="0E66A98B" w14:textId="30CBC1C2" w:rsidR="005E4234" w:rsidRDefault="005E4234" w:rsidP="001005F4">
            <w:r>
              <w:t>Annual Report Information</w:t>
            </w:r>
          </w:p>
        </w:tc>
        <w:tc>
          <w:tcPr>
            <w:tcW w:w="5494" w:type="dxa"/>
          </w:tcPr>
          <w:p w14:paraId="1382FA3D" w14:textId="4E97722F" w:rsidR="005E4234" w:rsidRDefault="005E4234" w:rsidP="00A17517">
            <w:r>
              <w:t>Chapters must provide all information requested in the Annual Report template.</w:t>
            </w:r>
          </w:p>
        </w:tc>
        <w:tc>
          <w:tcPr>
            <w:tcW w:w="1294" w:type="dxa"/>
          </w:tcPr>
          <w:p w14:paraId="22C6A73E" w14:textId="7679B43C" w:rsidR="005E4234" w:rsidRDefault="005E4234" w:rsidP="001005F4">
            <w:r>
              <w:t>N/A</w:t>
            </w:r>
          </w:p>
        </w:tc>
        <w:tc>
          <w:tcPr>
            <w:tcW w:w="3271" w:type="dxa"/>
          </w:tcPr>
          <w:p w14:paraId="3A0AA807" w14:textId="23DF81B5" w:rsidR="005E4234" w:rsidRDefault="005E4234" w:rsidP="001005F4">
            <w:r>
              <w:t xml:space="preserve">No points awarded as this </w:t>
            </w:r>
            <w:proofErr w:type="gramStart"/>
            <w:r>
              <w:t>is</w:t>
            </w:r>
            <w:proofErr w:type="gramEnd"/>
            <w:r>
              <w:t xml:space="preserve"> required for all chapters to be considered for this award.</w:t>
            </w:r>
          </w:p>
        </w:tc>
      </w:tr>
      <w:tr w:rsidR="00AE2597" w14:paraId="514E266C" w14:textId="77777777" w:rsidTr="003A28FC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5F5815EE" w14:textId="27EDE750" w:rsidR="00AE2597" w:rsidRDefault="00AE2597" w:rsidP="001005F4">
            <w:r>
              <w:t xml:space="preserve">I. Chapter Infrastructure – </w:t>
            </w:r>
            <w:r w:rsidR="007B0B51">
              <w:t>10</w:t>
            </w:r>
            <w:r>
              <w:t xml:space="preserve"> points</w:t>
            </w:r>
            <w:r w:rsidR="004C2ABD">
              <w:t xml:space="preserve"> maximum</w:t>
            </w:r>
          </w:p>
        </w:tc>
      </w:tr>
      <w:tr w:rsidR="001005F4" w14:paraId="4C36BE1D" w14:textId="77777777" w:rsidTr="004A3BCF">
        <w:trPr>
          <w:trHeight w:val="1601"/>
        </w:trPr>
        <w:tc>
          <w:tcPr>
            <w:tcW w:w="3145" w:type="dxa"/>
          </w:tcPr>
          <w:p w14:paraId="29687A49" w14:textId="742DB488" w:rsidR="001005F4" w:rsidRDefault="001005F4" w:rsidP="001005F4">
            <w:r>
              <w:t>General Chapter Meetings</w:t>
            </w:r>
          </w:p>
        </w:tc>
        <w:tc>
          <w:tcPr>
            <w:tcW w:w="5494" w:type="dxa"/>
          </w:tcPr>
          <w:p w14:paraId="09D3222A" w14:textId="77777777" w:rsidR="001005F4" w:rsidRDefault="001005F4" w:rsidP="001005F4">
            <w:r>
              <w:t xml:space="preserve">Assign one point for each general chapter meeting held (excluding recruitment events/interest meetings): </w:t>
            </w:r>
          </w:p>
          <w:p w14:paraId="605AB574" w14:textId="10662DED" w:rsidR="001005F4" w:rsidRDefault="001005F4" w:rsidP="001005F4">
            <w:r>
              <w:t>(0 Points) No General Chapter Meetings</w:t>
            </w:r>
          </w:p>
          <w:p w14:paraId="28280D99" w14:textId="2172808A" w:rsidR="001005F4" w:rsidRDefault="001005F4" w:rsidP="006D2955">
            <w:r>
              <w:t>(3 Points) Three or more General Chapter Meetings</w:t>
            </w:r>
          </w:p>
        </w:tc>
        <w:tc>
          <w:tcPr>
            <w:tcW w:w="1294" w:type="dxa"/>
          </w:tcPr>
          <w:p w14:paraId="239E8093" w14:textId="0F8DAB8F" w:rsidR="001005F4" w:rsidRDefault="001005F4" w:rsidP="001005F4"/>
        </w:tc>
        <w:tc>
          <w:tcPr>
            <w:tcW w:w="3271" w:type="dxa"/>
          </w:tcPr>
          <w:p w14:paraId="12B740A7" w14:textId="39BCD9A6" w:rsidR="001005F4" w:rsidRDefault="001005F4" w:rsidP="001005F4">
            <w:r>
              <w:t xml:space="preserve">Meetings are expected to be spread throughout the academic calendar. </w:t>
            </w:r>
          </w:p>
        </w:tc>
      </w:tr>
      <w:tr w:rsidR="001005F4" w14:paraId="56C4A832" w14:textId="77777777" w:rsidTr="004A3BCF">
        <w:trPr>
          <w:trHeight w:val="1349"/>
        </w:trPr>
        <w:tc>
          <w:tcPr>
            <w:tcW w:w="3145" w:type="dxa"/>
          </w:tcPr>
          <w:p w14:paraId="2F132D26" w14:textId="20451819" w:rsidR="001005F4" w:rsidRDefault="002176BC" w:rsidP="001005F4">
            <w:r>
              <w:t>Recruitment</w:t>
            </w:r>
          </w:p>
        </w:tc>
        <w:tc>
          <w:tcPr>
            <w:tcW w:w="5494" w:type="dxa"/>
          </w:tcPr>
          <w:p w14:paraId="73DC4839" w14:textId="2C99CF1B" w:rsidR="001005F4" w:rsidRDefault="001005F4" w:rsidP="001005F4">
            <w:r>
              <w:t xml:space="preserve">Did the chapter have an </w:t>
            </w:r>
            <w:proofErr w:type="gramStart"/>
            <w:r>
              <w:t>interest</w:t>
            </w:r>
            <w:proofErr w:type="gramEnd"/>
            <w:r>
              <w:t xml:space="preserve"> meeting</w:t>
            </w:r>
            <w:r w:rsidR="00755D36">
              <w:t xml:space="preserve"> and/or recruitment event</w:t>
            </w:r>
            <w:r>
              <w:t xml:space="preserve">? </w:t>
            </w:r>
          </w:p>
          <w:p w14:paraId="769B3ACE" w14:textId="77777777" w:rsidR="001005F4" w:rsidRDefault="001005F4" w:rsidP="001005F4">
            <w:r>
              <w:t xml:space="preserve">(0 Points) No </w:t>
            </w:r>
          </w:p>
          <w:p w14:paraId="0DB7C999" w14:textId="27C6CE3F" w:rsidR="001005F4" w:rsidRDefault="001005F4" w:rsidP="001005F4">
            <w:r>
              <w:t>(</w:t>
            </w:r>
            <w:r w:rsidR="008F3CF1">
              <w:t>3</w:t>
            </w:r>
            <w:r w:rsidR="00ED0EC3">
              <w:t xml:space="preserve"> </w:t>
            </w:r>
            <w:r>
              <w:t xml:space="preserve">Points) Yes </w:t>
            </w:r>
          </w:p>
        </w:tc>
        <w:tc>
          <w:tcPr>
            <w:tcW w:w="1294" w:type="dxa"/>
          </w:tcPr>
          <w:p w14:paraId="5EBDAE4C" w14:textId="48FB53AE" w:rsidR="001005F4" w:rsidRDefault="001005F4" w:rsidP="001005F4"/>
        </w:tc>
        <w:tc>
          <w:tcPr>
            <w:tcW w:w="3271" w:type="dxa"/>
          </w:tcPr>
          <w:p w14:paraId="2DD490E6" w14:textId="77777777" w:rsidR="001005F4" w:rsidRDefault="001005F4" w:rsidP="001005F4"/>
        </w:tc>
      </w:tr>
      <w:tr w:rsidR="00F54B84" w14:paraId="4D897735" w14:textId="77777777" w:rsidTr="00135FA1">
        <w:trPr>
          <w:trHeight w:val="2087"/>
        </w:trPr>
        <w:tc>
          <w:tcPr>
            <w:tcW w:w="3145" w:type="dxa"/>
          </w:tcPr>
          <w:p w14:paraId="3F943B94" w14:textId="03080387" w:rsidR="00F54B84" w:rsidRDefault="00F54B84" w:rsidP="00F54B84">
            <w:r>
              <w:t>Fundraiser</w:t>
            </w:r>
            <w:r w:rsidR="00B01844">
              <w:t>(</w:t>
            </w:r>
            <w:r>
              <w:t>s</w:t>
            </w:r>
            <w:r w:rsidR="00B01844">
              <w:t>)</w:t>
            </w:r>
            <w:r>
              <w:t xml:space="preserve"> </w:t>
            </w:r>
          </w:p>
        </w:tc>
        <w:tc>
          <w:tcPr>
            <w:tcW w:w="5494" w:type="dxa"/>
          </w:tcPr>
          <w:p w14:paraId="60687B12" w14:textId="77777777" w:rsidR="004907FE" w:rsidRDefault="004907FE" w:rsidP="00F54B84">
            <w:r>
              <w:t xml:space="preserve">Was a fundraiser </w:t>
            </w:r>
            <w:proofErr w:type="gramStart"/>
            <w:r>
              <w:t>held</w:t>
            </w:r>
            <w:proofErr w:type="gramEnd"/>
            <w:r>
              <w:t>?</w:t>
            </w:r>
          </w:p>
          <w:p w14:paraId="1417C43A" w14:textId="61AE0D31" w:rsidR="004907FE" w:rsidRDefault="004907FE" w:rsidP="00F54B84">
            <w:r>
              <w:t>(0 Points) No</w:t>
            </w:r>
          </w:p>
          <w:p w14:paraId="6B4619E1" w14:textId="77777777" w:rsidR="00763F46" w:rsidRDefault="004907FE" w:rsidP="004907FE">
            <w:r>
              <w:t>(1 Point) Yes</w:t>
            </w:r>
            <w:r w:rsidR="0020733F">
              <w:t xml:space="preserve"> </w:t>
            </w:r>
          </w:p>
          <w:p w14:paraId="62E489D0" w14:textId="77777777" w:rsidR="00763F46" w:rsidRDefault="00763F46" w:rsidP="004907FE"/>
          <w:p w14:paraId="34BE65D2" w14:textId="5E669AF7" w:rsidR="00F54B84" w:rsidRPr="00135FA1" w:rsidRDefault="00763F46" w:rsidP="00F54B84">
            <w:pPr>
              <w:rPr>
                <w:i/>
                <w:iCs/>
              </w:rPr>
            </w:pPr>
            <w:r w:rsidRPr="00135FA1">
              <w:rPr>
                <w:i/>
                <w:iCs/>
              </w:rPr>
              <w:t>Chapters that are not allowed to fundraise due to school policies will be awarded 1 point in this category.</w:t>
            </w:r>
            <w:r w:rsidR="00135FA1" w:rsidRPr="00135FA1">
              <w:rPr>
                <w:i/>
                <w:iCs/>
              </w:rPr>
              <w:t xml:space="preserve"> Please note this in your annual report.</w:t>
            </w:r>
          </w:p>
        </w:tc>
        <w:tc>
          <w:tcPr>
            <w:tcW w:w="1294" w:type="dxa"/>
          </w:tcPr>
          <w:p w14:paraId="075506F4" w14:textId="6CC62608" w:rsidR="00F54B84" w:rsidRDefault="00F54B84" w:rsidP="00F54B84"/>
        </w:tc>
        <w:tc>
          <w:tcPr>
            <w:tcW w:w="3271" w:type="dxa"/>
          </w:tcPr>
          <w:p w14:paraId="63F87410" w14:textId="456ED5DA" w:rsidR="00F54B84" w:rsidRDefault="006D2955" w:rsidP="00F54B84">
            <w:r>
              <w:t>Does not include seed money, dues, or grants.</w:t>
            </w:r>
          </w:p>
        </w:tc>
      </w:tr>
      <w:tr w:rsidR="00F54B84" w14:paraId="2D8ABCF1" w14:textId="77777777" w:rsidTr="004A3BCF">
        <w:trPr>
          <w:trHeight w:val="2060"/>
        </w:trPr>
        <w:tc>
          <w:tcPr>
            <w:tcW w:w="3145" w:type="dxa"/>
          </w:tcPr>
          <w:p w14:paraId="4906B7DE" w14:textId="77321429" w:rsidR="00F54B84" w:rsidRDefault="00F54B84" w:rsidP="00F54B84">
            <w:proofErr w:type="gramStart"/>
            <w:r>
              <w:lastRenderedPageBreak/>
              <w:t>Social Media</w:t>
            </w:r>
            <w:proofErr w:type="gramEnd"/>
            <w:r>
              <w:t xml:space="preserve"> </w:t>
            </w:r>
          </w:p>
        </w:tc>
        <w:tc>
          <w:tcPr>
            <w:tcW w:w="5494" w:type="dxa"/>
          </w:tcPr>
          <w:p w14:paraId="6B43A912" w14:textId="4F28F7DB" w:rsidR="00F54B84" w:rsidRDefault="00421C0D" w:rsidP="00F54B84">
            <w:r>
              <w:t>Assign points based on</w:t>
            </w:r>
            <w:r w:rsidR="0048204D">
              <w:t xml:space="preserve"> having an </w:t>
            </w:r>
            <w:proofErr w:type="gramStart"/>
            <w:r w:rsidR="0048204D">
              <w:t>active</w:t>
            </w:r>
            <w:r w:rsidR="00F54B84">
              <w:t xml:space="preserve"> social media accounts</w:t>
            </w:r>
            <w:proofErr w:type="gramEnd"/>
            <w:r w:rsidR="007D3724">
              <w:t xml:space="preserve"> (</w:t>
            </w:r>
            <w:r w:rsidR="004054A2">
              <w:t xml:space="preserve">only web addresses/handles provided on the annual report to be considered): </w:t>
            </w:r>
            <w:r w:rsidR="00F54B84">
              <w:t xml:space="preserve"> </w:t>
            </w:r>
          </w:p>
          <w:p w14:paraId="02737C25" w14:textId="77777777" w:rsidR="00F54B84" w:rsidRDefault="00F54B84" w:rsidP="00F54B84">
            <w:r>
              <w:t xml:space="preserve">(0 Points) No active social media account </w:t>
            </w:r>
          </w:p>
          <w:p w14:paraId="21C89153" w14:textId="79311C4F" w:rsidR="00A17517" w:rsidRDefault="00F54B84" w:rsidP="00F54B84">
            <w:r>
              <w:t>(</w:t>
            </w:r>
            <w:r w:rsidR="00554E87">
              <w:t>3</w:t>
            </w:r>
            <w:r>
              <w:t xml:space="preserve"> Poi</w:t>
            </w:r>
            <w:r w:rsidR="008F3CF1">
              <w:t>nts</w:t>
            </w:r>
            <w:r>
              <w:t>) One or more active social media accounts</w:t>
            </w:r>
          </w:p>
        </w:tc>
        <w:tc>
          <w:tcPr>
            <w:tcW w:w="1294" w:type="dxa"/>
          </w:tcPr>
          <w:p w14:paraId="267BD02E" w14:textId="08ADE95C" w:rsidR="00F54B84" w:rsidRDefault="00F54B84" w:rsidP="00F54B84"/>
        </w:tc>
        <w:tc>
          <w:tcPr>
            <w:tcW w:w="3271" w:type="dxa"/>
          </w:tcPr>
          <w:p w14:paraId="298D2ECA" w14:textId="77777777" w:rsidR="00F54B84" w:rsidRDefault="00F54B84" w:rsidP="00F54B84">
            <w:r>
              <w:t>Active social media classified as at least one post a month.</w:t>
            </w:r>
          </w:p>
          <w:p w14:paraId="096E6852" w14:textId="77777777" w:rsidR="00BD0278" w:rsidRDefault="00BD0278" w:rsidP="00F54B84"/>
          <w:p w14:paraId="76EE42EF" w14:textId="4174A89A" w:rsidR="00BD0278" w:rsidRPr="004A3BCF" w:rsidRDefault="008F3CF1" w:rsidP="00F54B84">
            <w:pPr>
              <w:rPr>
                <w:i/>
                <w:iCs/>
              </w:rPr>
            </w:pPr>
            <w:r w:rsidRPr="004A3BCF">
              <w:rPr>
                <w:i/>
                <w:iCs/>
              </w:rPr>
              <w:t>Chapters are</w:t>
            </w:r>
            <w:r w:rsidR="00BD0278" w:rsidRPr="004A3BCF">
              <w:rPr>
                <w:i/>
                <w:iCs/>
              </w:rPr>
              <w:t xml:space="preserve"> encourage</w:t>
            </w:r>
            <w:r w:rsidRPr="004A3BCF">
              <w:rPr>
                <w:i/>
                <w:iCs/>
              </w:rPr>
              <w:t>d to promote the psych pharmacy profession!</w:t>
            </w:r>
          </w:p>
        </w:tc>
      </w:tr>
      <w:tr w:rsidR="00F54B84" w14:paraId="57C60109" w14:textId="77777777" w:rsidTr="003A28FC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4C579A44" w14:textId="74A9AA7E" w:rsidR="00F54B84" w:rsidRDefault="00F54B84" w:rsidP="00F54B84">
            <w:r>
              <w:t>II. Community Service and Engagement –</w:t>
            </w:r>
            <w:r w:rsidR="004C2ABD">
              <w:t xml:space="preserve"> </w:t>
            </w:r>
            <w:r w:rsidR="004F32E2">
              <w:t>45</w:t>
            </w:r>
            <w:r>
              <w:t xml:space="preserve"> points</w:t>
            </w:r>
            <w:r w:rsidR="004C2ABD">
              <w:t xml:space="preserve"> </w:t>
            </w:r>
            <w:r w:rsidR="004C2ABD">
              <w:t>maximum</w:t>
            </w:r>
          </w:p>
        </w:tc>
      </w:tr>
      <w:tr w:rsidR="00F54B84" w14:paraId="6E8E8412" w14:textId="77777777" w:rsidTr="00A17517">
        <w:trPr>
          <w:trHeight w:val="351"/>
        </w:trPr>
        <w:tc>
          <w:tcPr>
            <w:tcW w:w="3145" w:type="dxa"/>
          </w:tcPr>
          <w:p w14:paraId="6222AA68" w14:textId="579EDB23" w:rsidR="00F54B84" w:rsidRDefault="00F54B84" w:rsidP="00F54B84">
            <w:r>
              <w:t>Community Service Events</w:t>
            </w:r>
          </w:p>
        </w:tc>
        <w:tc>
          <w:tcPr>
            <w:tcW w:w="5494" w:type="dxa"/>
          </w:tcPr>
          <w:p w14:paraId="4EBBC08A" w14:textId="779985E6" w:rsidR="00F54B84" w:rsidRDefault="00F54B84" w:rsidP="00F54B84">
            <w:r>
              <w:t xml:space="preserve">Assign </w:t>
            </w:r>
            <w:r w:rsidR="004F32E2">
              <w:t xml:space="preserve">five </w:t>
            </w:r>
            <w:r>
              <w:t xml:space="preserve">points for each community service event conducted by the chapter. </w:t>
            </w:r>
          </w:p>
          <w:p w14:paraId="1D26DD8E" w14:textId="77777777" w:rsidR="00F54B84" w:rsidRDefault="00F54B84" w:rsidP="00F54B84">
            <w:r>
              <w:t xml:space="preserve">(0 Points) No community service events </w:t>
            </w:r>
          </w:p>
          <w:p w14:paraId="7CF661B5" w14:textId="3575F1F1" w:rsidR="00F54B84" w:rsidRDefault="00F54B84" w:rsidP="00F54B84">
            <w:r>
              <w:t>(</w:t>
            </w:r>
            <w:r w:rsidR="004F32E2">
              <w:t>5</w:t>
            </w:r>
            <w:r>
              <w:t xml:space="preserve"> Points) One community service event </w:t>
            </w:r>
          </w:p>
          <w:p w14:paraId="511D215A" w14:textId="1ADB99E7" w:rsidR="00F54B84" w:rsidRDefault="00F54B84" w:rsidP="00F54B84">
            <w:r>
              <w:t>(</w:t>
            </w:r>
            <w:r w:rsidR="004F32E2">
              <w:t>10</w:t>
            </w:r>
            <w:r>
              <w:t xml:space="preserve"> Points) Two community service events </w:t>
            </w:r>
          </w:p>
          <w:p w14:paraId="557C7729" w14:textId="3A77B7FE" w:rsidR="00F54B84" w:rsidRDefault="00F54B84" w:rsidP="00F54B84">
            <w:r>
              <w:t>(</w:t>
            </w:r>
            <w:r w:rsidR="004F32E2">
              <w:t>15</w:t>
            </w:r>
            <w:r>
              <w:t xml:space="preserve"> Points) Three community service events</w:t>
            </w:r>
          </w:p>
          <w:p w14:paraId="0E4673BF" w14:textId="49152403" w:rsidR="00A65EB3" w:rsidRDefault="00A60066" w:rsidP="00F54B84">
            <w:r>
              <w:t>(</w:t>
            </w:r>
            <w:r w:rsidR="004F32E2">
              <w:t>20</w:t>
            </w:r>
            <w:r>
              <w:t xml:space="preserve"> Points) Four community service events</w:t>
            </w:r>
          </w:p>
          <w:p w14:paraId="356A0EF0" w14:textId="04B4EBA4" w:rsidR="00A60066" w:rsidRDefault="00A60066" w:rsidP="00F54B84">
            <w:r>
              <w:t>(</w:t>
            </w:r>
            <w:r w:rsidR="004F32E2">
              <w:t>2</w:t>
            </w:r>
            <w:r>
              <w:t>5 Points) Five community service events or more</w:t>
            </w:r>
          </w:p>
          <w:p w14:paraId="66F04673" w14:textId="2EADF31D" w:rsidR="00A65EB3" w:rsidRDefault="00A65EB3" w:rsidP="00F54B84"/>
        </w:tc>
        <w:tc>
          <w:tcPr>
            <w:tcW w:w="1294" w:type="dxa"/>
          </w:tcPr>
          <w:p w14:paraId="2ACB8E7C" w14:textId="12DE29FE" w:rsidR="00F54B84" w:rsidRDefault="00F54B84" w:rsidP="00F54B84"/>
        </w:tc>
        <w:tc>
          <w:tcPr>
            <w:tcW w:w="3271" w:type="dxa"/>
          </w:tcPr>
          <w:p w14:paraId="5E25E351" w14:textId="77777777" w:rsidR="00F54B84" w:rsidRDefault="00F54B84" w:rsidP="00F54B84"/>
        </w:tc>
      </w:tr>
      <w:tr w:rsidR="00F54B84" w14:paraId="3CB36750" w14:textId="77777777" w:rsidTr="00F139EA">
        <w:trPr>
          <w:trHeight w:val="2690"/>
        </w:trPr>
        <w:tc>
          <w:tcPr>
            <w:tcW w:w="3145" w:type="dxa"/>
          </w:tcPr>
          <w:p w14:paraId="6C6DAB16" w14:textId="3C36EAF5" w:rsidR="00F54B84" w:rsidRDefault="00F54B84" w:rsidP="00F54B84">
            <w:r>
              <w:t>Cross</w:t>
            </w:r>
            <w:r w:rsidR="007C4806">
              <w:t>-</w:t>
            </w:r>
            <w:r>
              <w:t>Collaboration</w:t>
            </w:r>
          </w:p>
        </w:tc>
        <w:tc>
          <w:tcPr>
            <w:tcW w:w="5494" w:type="dxa"/>
          </w:tcPr>
          <w:p w14:paraId="7CC04782" w14:textId="7AFE9D51" w:rsidR="00F54B84" w:rsidRDefault="00F54B84" w:rsidP="00F54B84">
            <w:r>
              <w:t>Assign point</w:t>
            </w:r>
            <w:r w:rsidR="00D5429D">
              <w:t>s</w:t>
            </w:r>
            <w:r>
              <w:t xml:space="preserve"> </w:t>
            </w:r>
            <w:r w:rsidRPr="00A63A07">
              <w:rPr>
                <w:u w:val="single"/>
              </w:rPr>
              <w:t xml:space="preserve">for each </w:t>
            </w:r>
            <w:r w:rsidR="00C568A3">
              <w:rPr>
                <w:u w:val="single"/>
              </w:rPr>
              <w:t>activity</w:t>
            </w:r>
            <w:r>
              <w:t xml:space="preserve"> </w:t>
            </w:r>
            <w:r w:rsidR="003633DC">
              <w:t xml:space="preserve">involving another organization according to the categories below </w:t>
            </w:r>
            <w:r w:rsidR="00D5429D">
              <w:t xml:space="preserve">up to </w:t>
            </w:r>
            <w:r w:rsidR="00F9128B">
              <w:t>20</w:t>
            </w:r>
            <w:r w:rsidR="00D5429D">
              <w:t xml:space="preserve"> points</w:t>
            </w:r>
            <w:r w:rsidR="00F139EA">
              <w:t>.</w:t>
            </w:r>
          </w:p>
          <w:p w14:paraId="3F0BD4FE" w14:textId="77777777" w:rsidR="004A3BCF" w:rsidRDefault="004A3BCF" w:rsidP="00F54B84"/>
          <w:p w14:paraId="523CE172" w14:textId="606B2288" w:rsidR="001B41E0" w:rsidRDefault="00F139EA" w:rsidP="00567280">
            <w:r>
              <w:t>(</w:t>
            </w:r>
            <w:r w:rsidR="001B41E0">
              <w:t>2 Points</w:t>
            </w:r>
            <w:r>
              <w:t>)</w:t>
            </w:r>
          </w:p>
          <w:p w14:paraId="5876E868" w14:textId="7B3242E2" w:rsidR="00D61375" w:rsidRDefault="00F54B84" w:rsidP="00F54B84">
            <w:pPr>
              <w:pStyle w:val="ListParagraph"/>
              <w:numPr>
                <w:ilvl w:val="0"/>
                <w:numId w:val="2"/>
              </w:numPr>
            </w:pPr>
            <w:r>
              <w:t xml:space="preserve">Other pharmacy school organizations (e.g. ASCP pharmacy chapter) </w:t>
            </w:r>
          </w:p>
          <w:p w14:paraId="20E3DF39" w14:textId="77777777" w:rsidR="00D61375" w:rsidRDefault="00F54B84" w:rsidP="00F54B84">
            <w:pPr>
              <w:pStyle w:val="ListParagraph"/>
              <w:numPr>
                <w:ilvl w:val="0"/>
                <w:numId w:val="2"/>
              </w:numPr>
            </w:pPr>
            <w:r>
              <w:t>Other non-pharmacy school organizations (e.g. pre-health, nursing, dental, etc.)</w:t>
            </w:r>
          </w:p>
          <w:p w14:paraId="38B3491E" w14:textId="121F0129" w:rsidR="001B41E0" w:rsidRDefault="00F139EA" w:rsidP="00567280">
            <w:r>
              <w:t>(</w:t>
            </w:r>
            <w:r w:rsidR="001B41E0">
              <w:t>4 Points</w:t>
            </w:r>
            <w:r>
              <w:t>)</w:t>
            </w:r>
          </w:p>
          <w:p w14:paraId="73B5ECFF" w14:textId="5DC3B994" w:rsidR="00D61375" w:rsidRDefault="00F54B84" w:rsidP="00F54B84">
            <w:pPr>
              <w:pStyle w:val="ListParagraph"/>
              <w:numPr>
                <w:ilvl w:val="0"/>
                <w:numId w:val="2"/>
              </w:numPr>
            </w:pPr>
            <w:r>
              <w:t>Professional community organizations (e.g. local NAMI chapter)</w:t>
            </w:r>
          </w:p>
          <w:p w14:paraId="3A1087B3" w14:textId="54D441D0" w:rsidR="00AE1CFD" w:rsidRDefault="00AE1CFD" w:rsidP="00F54B84">
            <w:pPr>
              <w:pStyle w:val="ListParagraph"/>
              <w:numPr>
                <w:ilvl w:val="0"/>
                <w:numId w:val="2"/>
              </w:numPr>
            </w:pPr>
            <w:r>
              <w:t>Other community organizations (</w:t>
            </w:r>
            <w:r w:rsidR="00255CB2">
              <w:t>food bank, shelter, etc.)</w:t>
            </w:r>
          </w:p>
          <w:p w14:paraId="21BE8E26" w14:textId="1C79B3C5" w:rsidR="001B41E0" w:rsidRDefault="00F139EA" w:rsidP="00567280">
            <w:r>
              <w:lastRenderedPageBreak/>
              <w:t>(</w:t>
            </w:r>
            <w:r w:rsidR="001B41E0">
              <w:t>6 Points</w:t>
            </w:r>
            <w:r>
              <w:t>)</w:t>
            </w:r>
          </w:p>
          <w:p w14:paraId="7CD74B2E" w14:textId="7C9D153E" w:rsidR="00F54B84" w:rsidRDefault="00F54B84" w:rsidP="00F54B84">
            <w:pPr>
              <w:pStyle w:val="ListParagraph"/>
              <w:numPr>
                <w:ilvl w:val="0"/>
                <w:numId w:val="2"/>
              </w:numPr>
            </w:pPr>
            <w:r>
              <w:t>Healthcare institutions/systems (e.g. provider from a healthcare system)</w:t>
            </w:r>
          </w:p>
          <w:p w14:paraId="0CC6F803" w14:textId="00CBE972" w:rsidR="00F54B84" w:rsidRDefault="00F139EA" w:rsidP="00F54B84">
            <w:r>
              <w:t>(</w:t>
            </w:r>
            <w:r w:rsidR="001B41E0">
              <w:t>8 Points</w:t>
            </w:r>
            <w:r>
              <w:t>)</w:t>
            </w:r>
          </w:p>
          <w:p w14:paraId="6D665940" w14:textId="77777777" w:rsidR="001B41E0" w:rsidRDefault="00D3008C" w:rsidP="001B41E0">
            <w:pPr>
              <w:pStyle w:val="ListParagraph"/>
              <w:numPr>
                <w:ilvl w:val="0"/>
                <w:numId w:val="2"/>
              </w:numPr>
            </w:pPr>
            <w:r>
              <w:t>O</w:t>
            </w:r>
            <w:r w:rsidR="001B41E0">
              <w:t>rganizations</w:t>
            </w:r>
            <w:r>
              <w:t xml:space="preserve"> at the national level (does not include local or regional chapters)</w:t>
            </w:r>
          </w:p>
          <w:p w14:paraId="5BC293A4" w14:textId="63CC8A1E" w:rsidR="00D06646" w:rsidRDefault="00F139EA" w:rsidP="00D06646">
            <w:r>
              <w:t>(</w:t>
            </w:r>
            <w:r w:rsidR="00D06646">
              <w:t>10 Points</w:t>
            </w:r>
            <w:r>
              <w:t>)</w:t>
            </w:r>
          </w:p>
          <w:p w14:paraId="46495145" w14:textId="36AB46F7" w:rsidR="00D06646" w:rsidRDefault="00F60C49" w:rsidP="00567280">
            <w:pPr>
              <w:pStyle w:val="ListParagraph"/>
              <w:numPr>
                <w:ilvl w:val="0"/>
                <w:numId w:val="2"/>
              </w:numPr>
            </w:pPr>
            <w:r>
              <w:t>Another AAPP collegiate chapter</w:t>
            </w:r>
          </w:p>
        </w:tc>
        <w:tc>
          <w:tcPr>
            <w:tcW w:w="1294" w:type="dxa"/>
          </w:tcPr>
          <w:p w14:paraId="05BF9BA9" w14:textId="6FFDB842" w:rsidR="00F54B84" w:rsidRDefault="00F54B84" w:rsidP="00F54B84"/>
        </w:tc>
        <w:tc>
          <w:tcPr>
            <w:tcW w:w="3271" w:type="dxa"/>
          </w:tcPr>
          <w:p w14:paraId="25FDA467" w14:textId="1A75D872" w:rsidR="00F54B84" w:rsidRDefault="00F02A23" w:rsidP="00F54B84">
            <w:r>
              <w:t xml:space="preserve">Collaborative events can get points in the prior category (community service events) and the cross-collaboration category. </w:t>
            </w:r>
          </w:p>
          <w:p w14:paraId="76723ED0" w14:textId="77777777" w:rsidR="00A5015D" w:rsidRDefault="00A5015D" w:rsidP="00F54B84"/>
          <w:p w14:paraId="7ADF084E" w14:textId="4CE31A0B" w:rsidR="00A5015D" w:rsidRDefault="00A5015D" w:rsidP="00F54B84">
            <w:r>
              <w:t xml:space="preserve">If activities involve more than 1 collaborating organization, the </w:t>
            </w:r>
            <w:r w:rsidR="00B739EC">
              <w:t>level meriting the most points will be counted for that activity.</w:t>
            </w:r>
          </w:p>
          <w:p w14:paraId="0F24B1BF" w14:textId="77777777" w:rsidR="00A5015D" w:rsidRDefault="00A5015D" w:rsidP="00F54B84"/>
          <w:p w14:paraId="71E4361B" w14:textId="2A1F55A0" w:rsidR="008A4498" w:rsidRDefault="00A5015D" w:rsidP="00F54B84">
            <w:r>
              <w:t>Virtual events are included.</w:t>
            </w:r>
          </w:p>
          <w:p w14:paraId="281F93A4" w14:textId="77777777" w:rsidR="00A5015D" w:rsidRDefault="00A5015D" w:rsidP="00F54B84"/>
          <w:p w14:paraId="06ACE4DC" w14:textId="21969003" w:rsidR="008A4498" w:rsidRDefault="00B92F05" w:rsidP="00F54B84">
            <w:r>
              <w:lastRenderedPageBreak/>
              <w:t>This category d</w:t>
            </w:r>
            <w:r w:rsidR="008A4498">
              <w:t>oes not include guest speakers</w:t>
            </w:r>
            <w:r w:rsidR="000C6C1F">
              <w:t>.</w:t>
            </w:r>
          </w:p>
          <w:p w14:paraId="46E8D9F2" w14:textId="77777777" w:rsidR="00BE5F2E" w:rsidRDefault="00BE5F2E" w:rsidP="00F54B84"/>
          <w:p w14:paraId="22C362D6" w14:textId="40CD39F8" w:rsidR="00BE5F2E" w:rsidRDefault="00BE5F2E" w:rsidP="00F54B84"/>
        </w:tc>
      </w:tr>
      <w:tr w:rsidR="00F54B84" w14:paraId="23AB95C8" w14:textId="77777777" w:rsidTr="003A28FC">
        <w:trPr>
          <w:trHeight w:val="351"/>
        </w:trPr>
        <w:tc>
          <w:tcPr>
            <w:tcW w:w="13204" w:type="dxa"/>
            <w:gridSpan w:val="4"/>
            <w:shd w:val="clear" w:color="auto" w:fill="83CAEB" w:themeFill="accent1" w:themeFillTint="66"/>
          </w:tcPr>
          <w:p w14:paraId="48B6B0DB" w14:textId="5FEBC1E9" w:rsidR="00F54B84" w:rsidRDefault="00F54B84" w:rsidP="00F54B84">
            <w:r>
              <w:lastRenderedPageBreak/>
              <w:t xml:space="preserve">III. Promoting Psychiatric Pharmacy – </w:t>
            </w:r>
            <w:r w:rsidR="00BD541B">
              <w:t>4</w:t>
            </w:r>
            <w:r w:rsidR="00476A23">
              <w:t>5</w:t>
            </w:r>
            <w:r>
              <w:t xml:space="preserve"> points</w:t>
            </w:r>
            <w:r w:rsidR="004C2ABD">
              <w:t xml:space="preserve"> </w:t>
            </w:r>
            <w:r w:rsidR="004C2ABD">
              <w:t>maximum</w:t>
            </w:r>
          </w:p>
        </w:tc>
      </w:tr>
      <w:tr w:rsidR="00F54B84" w14:paraId="38B82074" w14:textId="77777777" w:rsidTr="004C2ABD">
        <w:trPr>
          <w:trHeight w:val="2519"/>
        </w:trPr>
        <w:tc>
          <w:tcPr>
            <w:tcW w:w="3145" w:type="dxa"/>
          </w:tcPr>
          <w:p w14:paraId="089DD36E" w14:textId="5262E638" w:rsidR="00F54B84" w:rsidRDefault="00F54B84" w:rsidP="00F54B84">
            <w:r>
              <w:t>Guest Speakers</w:t>
            </w:r>
          </w:p>
        </w:tc>
        <w:tc>
          <w:tcPr>
            <w:tcW w:w="5494" w:type="dxa"/>
          </w:tcPr>
          <w:p w14:paraId="02156F3D" w14:textId="3C0D79B5" w:rsidR="00F54B84" w:rsidRDefault="00F54B84" w:rsidP="00F54B84">
            <w:r>
              <w:t>Assign one point for each</w:t>
            </w:r>
            <w:r w:rsidR="000C6C1F">
              <w:t xml:space="preserve"> speaker that gives a dedicated talk </w:t>
            </w:r>
            <w:r>
              <w:t>to the chapter</w:t>
            </w:r>
            <w:r w:rsidR="008E2A1E">
              <w:t>, up to 5 points.</w:t>
            </w:r>
          </w:p>
          <w:p w14:paraId="01A083DB" w14:textId="77777777" w:rsidR="000C6C1F" w:rsidRDefault="00F54B84" w:rsidP="00F54B84">
            <w:pPr>
              <w:pStyle w:val="ListParagraph"/>
              <w:numPr>
                <w:ilvl w:val="0"/>
                <w:numId w:val="2"/>
              </w:numPr>
            </w:pPr>
            <w:r>
              <w:t xml:space="preserve">Faculty Member from your institution </w:t>
            </w:r>
          </w:p>
          <w:p w14:paraId="2907CAA3" w14:textId="77777777" w:rsidR="000C6C1F" w:rsidRDefault="00F54B84" w:rsidP="00F54B84">
            <w:pPr>
              <w:pStyle w:val="ListParagraph"/>
              <w:numPr>
                <w:ilvl w:val="0"/>
                <w:numId w:val="2"/>
              </w:numPr>
            </w:pPr>
            <w:r>
              <w:t>Faculty Member from another institution</w:t>
            </w:r>
          </w:p>
          <w:p w14:paraId="38629A6E" w14:textId="77777777" w:rsidR="000C6C1F" w:rsidRDefault="008A4498" w:rsidP="00F54B84">
            <w:pPr>
              <w:pStyle w:val="ListParagraph"/>
              <w:numPr>
                <w:ilvl w:val="0"/>
                <w:numId w:val="2"/>
              </w:numPr>
            </w:pPr>
            <w:r>
              <w:t xml:space="preserve">Non-faculty </w:t>
            </w:r>
            <w:r w:rsidR="00F54B84">
              <w:t xml:space="preserve">Psychiatric Pharmacist </w:t>
            </w:r>
          </w:p>
          <w:p w14:paraId="160316D0" w14:textId="77777777" w:rsidR="000C6C1F" w:rsidRDefault="00F54B84" w:rsidP="00F54B84">
            <w:pPr>
              <w:pStyle w:val="ListParagraph"/>
              <w:numPr>
                <w:ilvl w:val="0"/>
                <w:numId w:val="2"/>
              </w:numPr>
            </w:pPr>
            <w:r>
              <w:t>Other Psychiatric Healthcare Team Member</w:t>
            </w:r>
          </w:p>
          <w:p w14:paraId="29C4D829" w14:textId="6C731540" w:rsidR="00F54B84" w:rsidRDefault="00F54B84" w:rsidP="00F54B84">
            <w:pPr>
              <w:pStyle w:val="ListParagraph"/>
              <w:numPr>
                <w:ilvl w:val="0"/>
                <w:numId w:val="2"/>
              </w:numPr>
            </w:pPr>
            <w:r>
              <w:t>Advocacy Organization Member (</w:t>
            </w:r>
            <w:proofErr w:type="spellStart"/>
            <w:r>
              <w:t>eg</w:t>
            </w:r>
            <w:proofErr w:type="spellEnd"/>
            <w:r>
              <w:t xml:space="preserve"> NAMI)</w:t>
            </w:r>
          </w:p>
        </w:tc>
        <w:tc>
          <w:tcPr>
            <w:tcW w:w="1294" w:type="dxa"/>
          </w:tcPr>
          <w:p w14:paraId="7FA57562" w14:textId="5BC36B11" w:rsidR="00F54B84" w:rsidRDefault="00F54B84" w:rsidP="00F54B84"/>
        </w:tc>
        <w:tc>
          <w:tcPr>
            <w:tcW w:w="3271" w:type="dxa"/>
          </w:tcPr>
          <w:p w14:paraId="4CE8685F" w14:textId="77777777" w:rsidR="00942023" w:rsidRDefault="00942023" w:rsidP="00F54B84">
            <w:r>
              <w:t>Points will be given per person, per presentation, including the chapter advisor.</w:t>
            </w:r>
          </w:p>
          <w:p w14:paraId="09B60604" w14:textId="77777777" w:rsidR="00942023" w:rsidRDefault="00942023" w:rsidP="00F54B84"/>
          <w:p w14:paraId="6D19EA8A" w14:textId="3D186BF9" w:rsidR="00F54B84" w:rsidRDefault="00F54B84" w:rsidP="00F54B84">
            <w:r>
              <w:t>Note that one guest speaker may fulfill multiple categories but can only be counted for one point</w:t>
            </w:r>
            <w:r w:rsidR="00BD541B">
              <w:t xml:space="preserve"> </w:t>
            </w:r>
            <w:r w:rsidR="00F42901">
              <w:t>per presentation</w:t>
            </w:r>
            <w:r w:rsidR="008A4498">
              <w:t>.</w:t>
            </w:r>
          </w:p>
          <w:p w14:paraId="09951E4D" w14:textId="214F162F" w:rsidR="008A4498" w:rsidRDefault="008A4498" w:rsidP="00F54B84"/>
        </w:tc>
      </w:tr>
      <w:tr w:rsidR="00F54B84" w14:paraId="150CC637" w14:textId="77777777" w:rsidTr="004C2ABD">
        <w:trPr>
          <w:trHeight w:val="1691"/>
        </w:trPr>
        <w:tc>
          <w:tcPr>
            <w:tcW w:w="3145" w:type="dxa"/>
          </w:tcPr>
          <w:p w14:paraId="0AC1C9A0" w14:textId="7D13CF2C" w:rsidR="00F54B84" w:rsidRDefault="00F54B84" w:rsidP="00F54B84">
            <w:r>
              <w:t xml:space="preserve">National AAPP Attendance </w:t>
            </w:r>
          </w:p>
        </w:tc>
        <w:tc>
          <w:tcPr>
            <w:tcW w:w="5494" w:type="dxa"/>
          </w:tcPr>
          <w:p w14:paraId="4760BD8A" w14:textId="3A8EB1BE" w:rsidR="00F54B84" w:rsidRDefault="00F54B84" w:rsidP="00F54B84">
            <w:r>
              <w:t>Assign</w:t>
            </w:r>
            <w:r w:rsidR="00476A23">
              <w:t xml:space="preserve"> </w:t>
            </w:r>
            <w:r>
              <w:t xml:space="preserve">2 points per </w:t>
            </w:r>
            <w:r w:rsidR="00476A23">
              <w:t xml:space="preserve">chapter member (student) </w:t>
            </w:r>
            <w:r>
              <w:t>attendee (students) at the national AAPP meeting</w:t>
            </w:r>
            <w:r w:rsidR="00476A23">
              <w:t xml:space="preserve"> in person and 1 point per chapter member (student) attendee who attended virtually</w:t>
            </w:r>
            <w:r>
              <w:t>, up to 10 points total</w:t>
            </w:r>
          </w:p>
        </w:tc>
        <w:tc>
          <w:tcPr>
            <w:tcW w:w="1294" w:type="dxa"/>
          </w:tcPr>
          <w:p w14:paraId="65543CBC" w14:textId="5FA7C297" w:rsidR="00F54B84" w:rsidRDefault="00F54B84" w:rsidP="00F54B84"/>
        </w:tc>
        <w:tc>
          <w:tcPr>
            <w:tcW w:w="3271" w:type="dxa"/>
          </w:tcPr>
          <w:p w14:paraId="6BAADDD3" w14:textId="77777777" w:rsidR="00F54B84" w:rsidRDefault="00F54B84" w:rsidP="00F54B84"/>
        </w:tc>
      </w:tr>
      <w:tr w:rsidR="00F54B84" w14:paraId="0B1215C3" w14:textId="77777777" w:rsidTr="004C2ABD">
        <w:trPr>
          <w:trHeight w:val="1520"/>
        </w:trPr>
        <w:tc>
          <w:tcPr>
            <w:tcW w:w="3145" w:type="dxa"/>
          </w:tcPr>
          <w:p w14:paraId="261CE84D" w14:textId="694A1008" w:rsidR="00F54B84" w:rsidRDefault="00F54B84" w:rsidP="00F54B84">
            <w:r>
              <w:t xml:space="preserve">Scientific </w:t>
            </w:r>
            <w:r w:rsidR="00F65CA9">
              <w:t xml:space="preserve">Works and </w:t>
            </w:r>
            <w:r>
              <w:t>Presentations</w:t>
            </w:r>
          </w:p>
        </w:tc>
        <w:tc>
          <w:tcPr>
            <w:tcW w:w="5494" w:type="dxa"/>
          </w:tcPr>
          <w:p w14:paraId="3E088DEA" w14:textId="3123A091" w:rsidR="00F54B84" w:rsidRDefault="00F54B84" w:rsidP="00F54B84">
            <w:r>
              <w:t xml:space="preserve">Assign </w:t>
            </w:r>
            <w:r w:rsidR="00476A23">
              <w:t>3</w:t>
            </w:r>
            <w:r>
              <w:t xml:space="preserve"> points for </w:t>
            </w:r>
            <w:r w:rsidR="00F65CA9">
              <w:t xml:space="preserve">each </w:t>
            </w:r>
            <w:r w:rsidR="008A4498">
              <w:t>psych pharmacy-</w:t>
            </w:r>
            <w:proofErr w:type="gramStart"/>
            <w:r w:rsidR="008A4498">
              <w:t xml:space="preserve">related </w:t>
            </w:r>
            <w:r w:rsidR="00F65CA9">
              <w:t xml:space="preserve"> poster</w:t>
            </w:r>
            <w:proofErr w:type="gramEnd"/>
            <w:r w:rsidR="00F65CA9">
              <w:t xml:space="preserve">, accepted presentation, or peer reviewed </w:t>
            </w:r>
            <w:proofErr w:type="gramStart"/>
            <w:r w:rsidR="00F65CA9">
              <w:t xml:space="preserve">paper,  </w:t>
            </w:r>
            <w:r>
              <w:t>sponsored</w:t>
            </w:r>
            <w:proofErr w:type="gramEnd"/>
            <w:r>
              <w:t xml:space="preserve"> by </w:t>
            </w:r>
            <w:r w:rsidR="00F65CA9">
              <w:t xml:space="preserve">a </w:t>
            </w:r>
            <w:r>
              <w:t>member</w:t>
            </w:r>
            <w:r w:rsidR="00F65CA9">
              <w:t>(</w:t>
            </w:r>
            <w:r>
              <w:t>s</w:t>
            </w:r>
            <w:r w:rsidR="00F65CA9">
              <w:t>)</w:t>
            </w:r>
            <w:r>
              <w:t xml:space="preserve"> of your chapter</w:t>
            </w:r>
            <w:r w:rsidR="00F65CA9">
              <w:t xml:space="preserve">, </w:t>
            </w:r>
            <w:r>
              <w:t>up to 1</w:t>
            </w:r>
            <w:r w:rsidR="00476A23">
              <w:t>5</w:t>
            </w:r>
            <w:r>
              <w:t xml:space="preserve"> points</w:t>
            </w:r>
            <w:r w:rsidR="00F65CA9">
              <w:t>.</w:t>
            </w:r>
          </w:p>
        </w:tc>
        <w:tc>
          <w:tcPr>
            <w:tcW w:w="1294" w:type="dxa"/>
          </w:tcPr>
          <w:p w14:paraId="69392FD5" w14:textId="70290A8A" w:rsidR="00F54B84" w:rsidRDefault="00F54B84" w:rsidP="00F54B84"/>
        </w:tc>
        <w:tc>
          <w:tcPr>
            <w:tcW w:w="3271" w:type="dxa"/>
          </w:tcPr>
          <w:p w14:paraId="51ECF8D0" w14:textId="6B30F2AC" w:rsidR="00F54B84" w:rsidRDefault="00F65CA9" w:rsidP="00F54B84">
            <w:r>
              <w:t>Points will not be given for required presentations (e.g. capstone presentation).</w:t>
            </w:r>
          </w:p>
        </w:tc>
      </w:tr>
      <w:tr w:rsidR="00F54B84" w14:paraId="34FC28FB" w14:textId="77777777" w:rsidTr="00272C65">
        <w:trPr>
          <w:trHeight w:val="4040"/>
        </w:trPr>
        <w:tc>
          <w:tcPr>
            <w:tcW w:w="3145" w:type="dxa"/>
          </w:tcPr>
          <w:p w14:paraId="4FD99748" w14:textId="5B32749D" w:rsidR="00F54B84" w:rsidRDefault="00F54B84" w:rsidP="00F54B84">
            <w:r>
              <w:lastRenderedPageBreak/>
              <w:t>Public Education</w:t>
            </w:r>
            <w:r w:rsidR="00DB118C">
              <w:t xml:space="preserve"> Resource/Literature</w:t>
            </w:r>
          </w:p>
        </w:tc>
        <w:tc>
          <w:tcPr>
            <w:tcW w:w="5494" w:type="dxa"/>
          </w:tcPr>
          <w:p w14:paraId="698D7CE5" w14:textId="425066E7" w:rsidR="00F54B84" w:rsidRDefault="00F54B84" w:rsidP="00F54B84">
            <w:r>
              <w:t>Assign 2 points per public education event held or resource distributed, up to 10 points</w:t>
            </w:r>
          </w:p>
        </w:tc>
        <w:tc>
          <w:tcPr>
            <w:tcW w:w="1294" w:type="dxa"/>
          </w:tcPr>
          <w:p w14:paraId="73FD51ED" w14:textId="444CB876" w:rsidR="00F54B84" w:rsidRDefault="00F54B84" w:rsidP="00F54B84"/>
        </w:tc>
        <w:tc>
          <w:tcPr>
            <w:tcW w:w="3271" w:type="dxa"/>
          </w:tcPr>
          <w:p w14:paraId="428E50BB" w14:textId="5478C979" w:rsidR="00F54B84" w:rsidRDefault="008A4498" w:rsidP="00F54B84">
            <w:r>
              <w:t>May overlap with service activities</w:t>
            </w:r>
            <w:r w:rsidR="00C2613C">
              <w:t xml:space="preserve"> if an educational </w:t>
            </w:r>
            <w:r w:rsidR="00664626">
              <w:t>resource or literature is distributed.</w:t>
            </w:r>
          </w:p>
          <w:p w14:paraId="0F4BB530" w14:textId="77777777" w:rsidR="00C2613C" w:rsidRDefault="00C2613C" w:rsidP="00F54B84"/>
          <w:p w14:paraId="583CF126" w14:textId="16A9A423" w:rsidR="00C2613C" w:rsidRDefault="00C2613C" w:rsidP="00F54B84">
            <w:r>
              <w:t>2 points</w:t>
            </w:r>
            <w:r w:rsidR="008A4417">
              <w:t xml:space="preserve"> will be awarded</w:t>
            </w:r>
            <w:r>
              <w:t xml:space="preserve"> per unique event. Events may be repeated but will only be counted once in this category. </w:t>
            </w:r>
            <w:proofErr w:type="gramStart"/>
            <w:r>
              <w:t>Repeat</w:t>
            </w:r>
            <w:proofErr w:type="gramEnd"/>
            <w:r>
              <w:t xml:space="preserve"> events are encouraged and points </w:t>
            </w:r>
            <w:r w:rsidR="00272C65">
              <w:t xml:space="preserve">will be </w:t>
            </w:r>
            <w:proofErr w:type="gramStart"/>
            <w:r>
              <w:t>awarded</w:t>
            </w:r>
            <w:proofErr w:type="gramEnd"/>
            <w:r>
              <w:t xml:space="preserve"> in other categories</w:t>
            </w:r>
            <w:r w:rsidR="00272C65">
              <w:t>, if appropriate</w:t>
            </w:r>
            <w:r>
              <w:t>.</w:t>
            </w:r>
          </w:p>
        </w:tc>
      </w:tr>
      <w:tr w:rsidR="005930D1" w14:paraId="4978B4FB" w14:textId="77777777" w:rsidTr="008E2A1E">
        <w:trPr>
          <w:trHeight w:val="1052"/>
        </w:trPr>
        <w:tc>
          <w:tcPr>
            <w:tcW w:w="3145" w:type="dxa"/>
          </w:tcPr>
          <w:p w14:paraId="4D73DB4C" w14:textId="5D66CC2E" w:rsidR="005930D1" w:rsidRDefault="0044602D" w:rsidP="00F54B84">
            <w:r>
              <w:t>Other Activities and Events</w:t>
            </w:r>
          </w:p>
        </w:tc>
        <w:tc>
          <w:tcPr>
            <w:tcW w:w="5494" w:type="dxa"/>
          </w:tcPr>
          <w:p w14:paraId="70B0D390" w14:textId="02D33923" w:rsidR="005930D1" w:rsidRDefault="0044602D" w:rsidP="00F54B84">
            <w:r>
              <w:t>Assign 1 point per activity/event promoting psychiatric pharmacy that i</w:t>
            </w:r>
            <w:r w:rsidR="00DF6C25">
              <w:t>s</w:t>
            </w:r>
            <w:r>
              <w:t xml:space="preserve"> not a service event, up to 5 points</w:t>
            </w:r>
            <w:r w:rsidR="00D77E45">
              <w:t xml:space="preserve"> (e.g. </w:t>
            </w:r>
            <w:r w:rsidR="00E76AE7">
              <w:t>group social outing, etc.)</w:t>
            </w:r>
          </w:p>
        </w:tc>
        <w:tc>
          <w:tcPr>
            <w:tcW w:w="1294" w:type="dxa"/>
          </w:tcPr>
          <w:p w14:paraId="4AB13D2A" w14:textId="4E4D5DDC" w:rsidR="005930D1" w:rsidRDefault="005930D1" w:rsidP="00F54B84"/>
        </w:tc>
        <w:tc>
          <w:tcPr>
            <w:tcW w:w="3271" w:type="dxa"/>
          </w:tcPr>
          <w:p w14:paraId="0C8445DC" w14:textId="24C2C2D5" w:rsidR="005930D1" w:rsidRDefault="00C2613C" w:rsidP="00F54B84">
            <w:r>
              <w:t>Points will be awarded for events/activities that don’t fall in</w:t>
            </w:r>
            <w:r w:rsidR="00CC3140">
              <w:t>to</w:t>
            </w:r>
            <w:r>
              <w:t xml:space="preserve"> other categories.</w:t>
            </w:r>
          </w:p>
        </w:tc>
      </w:tr>
    </w:tbl>
    <w:p w14:paraId="09A2F87F" w14:textId="7BDD38CA" w:rsidR="001A77AB" w:rsidRDefault="001A77AB" w:rsidP="001005F4"/>
    <w:p w14:paraId="750D2D3C" w14:textId="2F7D35F3" w:rsidR="003A28FC" w:rsidRDefault="003A28FC" w:rsidP="001005F4">
      <w:pPr>
        <w:rPr>
          <w:b/>
          <w:bCs/>
        </w:rPr>
      </w:pPr>
      <w:r w:rsidRPr="003A28FC">
        <w:rPr>
          <w:b/>
          <w:bCs/>
          <w:highlight w:val="yellow"/>
        </w:rPr>
        <w:t>A chapter can earn up to</w:t>
      </w:r>
      <w:r w:rsidR="00391699">
        <w:rPr>
          <w:b/>
          <w:bCs/>
          <w:highlight w:val="yellow"/>
        </w:rPr>
        <w:t xml:space="preserve"> </w:t>
      </w:r>
      <w:r w:rsidR="006511A7">
        <w:rPr>
          <w:b/>
          <w:bCs/>
          <w:highlight w:val="yellow"/>
        </w:rPr>
        <w:t>100</w:t>
      </w:r>
      <w:r w:rsidRPr="003A28FC">
        <w:rPr>
          <w:b/>
          <w:bCs/>
          <w:highlight w:val="yellow"/>
        </w:rPr>
        <w:t xml:space="preserve"> points if all categories are achieved.</w:t>
      </w:r>
    </w:p>
    <w:p w14:paraId="15DE779F" w14:textId="4914CB40" w:rsidR="00C2613C" w:rsidRPr="00C2613C" w:rsidRDefault="00C2613C" w:rsidP="001005F4">
      <w:pPr>
        <w:rPr>
          <w:i/>
          <w:iCs/>
        </w:rPr>
      </w:pPr>
      <w:r w:rsidRPr="00C2613C">
        <w:rPr>
          <w:i/>
          <w:iCs/>
        </w:rPr>
        <w:t xml:space="preserve">Faculty advisor feedback </w:t>
      </w:r>
      <w:r w:rsidR="00FA5189">
        <w:rPr>
          <w:i/>
          <w:iCs/>
        </w:rPr>
        <w:t xml:space="preserve">and report formatting/organization </w:t>
      </w:r>
      <w:r w:rsidRPr="00C2613C">
        <w:rPr>
          <w:i/>
          <w:iCs/>
        </w:rPr>
        <w:t>will be used as tie breaker</w:t>
      </w:r>
      <w:r w:rsidR="00FA5189">
        <w:rPr>
          <w:i/>
          <w:iCs/>
        </w:rPr>
        <w:t>s</w:t>
      </w:r>
      <w:r w:rsidRPr="00C2613C">
        <w:rPr>
          <w:i/>
          <w:iCs/>
        </w:rPr>
        <w:t>, if needed.</w:t>
      </w:r>
    </w:p>
    <w:sectPr w:rsidR="00C2613C" w:rsidRPr="00C2613C" w:rsidSect="001005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2AC0"/>
    <w:multiLevelType w:val="hybridMultilevel"/>
    <w:tmpl w:val="0568DEA6"/>
    <w:lvl w:ilvl="0" w:tplc="F692D76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31C19"/>
    <w:multiLevelType w:val="hybridMultilevel"/>
    <w:tmpl w:val="03F63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0238">
    <w:abstractNumId w:val="1"/>
  </w:num>
  <w:num w:numId="2" w16cid:durableId="37978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F4"/>
    <w:rsid w:val="00033AAA"/>
    <w:rsid w:val="000378C0"/>
    <w:rsid w:val="0004015B"/>
    <w:rsid w:val="00094B45"/>
    <w:rsid w:val="000A2982"/>
    <w:rsid w:val="000C52CB"/>
    <w:rsid w:val="000C6C1F"/>
    <w:rsid w:val="000F0EA3"/>
    <w:rsid w:val="001005F4"/>
    <w:rsid w:val="00104513"/>
    <w:rsid w:val="00135FA1"/>
    <w:rsid w:val="001726EE"/>
    <w:rsid w:val="001A77AB"/>
    <w:rsid w:val="001B41E0"/>
    <w:rsid w:val="001C2565"/>
    <w:rsid w:val="001F51E4"/>
    <w:rsid w:val="0020733F"/>
    <w:rsid w:val="002176BC"/>
    <w:rsid w:val="00250349"/>
    <w:rsid w:val="00255CB2"/>
    <w:rsid w:val="00272C65"/>
    <w:rsid w:val="00281B23"/>
    <w:rsid w:val="002865B2"/>
    <w:rsid w:val="002B3694"/>
    <w:rsid w:val="002D621E"/>
    <w:rsid w:val="002E503C"/>
    <w:rsid w:val="003173CD"/>
    <w:rsid w:val="003331B5"/>
    <w:rsid w:val="00333920"/>
    <w:rsid w:val="003633DC"/>
    <w:rsid w:val="003771BB"/>
    <w:rsid w:val="00391699"/>
    <w:rsid w:val="003A28FC"/>
    <w:rsid w:val="003F0840"/>
    <w:rsid w:val="004054A2"/>
    <w:rsid w:val="00405AEE"/>
    <w:rsid w:val="00411B46"/>
    <w:rsid w:val="00421C0D"/>
    <w:rsid w:val="0044602D"/>
    <w:rsid w:val="004518C5"/>
    <w:rsid w:val="00476A23"/>
    <w:rsid w:val="00481718"/>
    <w:rsid w:val="0048204D"/>
    <w:rsid w:val="00487ED1"/>
    <w:rsid w:val="004907FE"/>
    <w:rsid w:val="004A03E4"/>
    <w:rsid w:val="004A3BCF"/>
    <w:rsid w:val="004B2B28"/>
    <w:rsid w:val="004B405E"/>
    <w:rsid w:val="004C2ABD"/>
    <w:rsid w:val="004F1471"/>
    <w:rsid w:val="004F32E2"/>
    <w:rsid w:val="004F4E11"/>
    <w:rsid w:val="0050209B"/>
    <w:rsid w:val="005023C6"/>
    <w:rsid w:val="00525826"/>
    <w:rsid w:val="005301B1"/>
    <w:rsid w:val="00541655"/>
    <w:rsid w:val="00554E87"/>
    <w:rsid w:val="00567280"/>
    <w:rsid w:val="00570FDB"/>
    <w:rsid w:val="005833B9"/>
    <w:rsid w:val="00583586"/>
    <w:rsid w:val="005930D1"/>
    <w:rsid w:val="005C1A06"/>
    <w:rsid w:val="005D5BF3"/>
    <w:rsid w:val="005D76B4"/>
    <w:rsid w:val="005E4234"/>
    <w:rsid w:val="005F6C6B"/>
    <w:rsid w:val="006511A7"/>
    <w:rsid w:val="00664626"/>
    <w:rsid w:val="00675414"/>
    <w:rsid w:val="006A1A3D"/>
    <w:rsid w:val="006D2955"/>
    <w:rsid w:val="006F2CE9"/>
    <w:rsid w:val="006F67D7"/>
    <w:rsid w:val="00755D36"/>
    <w:rsid w:val="007636E2"/>
    <w:rsid w:val="00763F46"/>
    <w:rsid w:val="007668FA"/>
    <w:rsid w:val="007B0B51"/>
    <w:rsid w:val="007C4806"/>
    <w:rsid w:val="007D3724"/>
    <w:rsid w:val="007D5A76"/>
    <w:rsid w:val="00816361"/>
    <w:rsid w:val="00823925"/>
    <w:rsid w:val="0082723B"/>
    <w:rsid w:val="00831F7C"/>
    <w:rsid w:val="00850946"/>
    <w:rsid w:val="0088798A"/>
    <w:rsid w:val="008A4417"/>
    <w:rsid w:val="008A4498"/>
    <w:rsid w:val="008D09FB"/>
    <w:rsid w:val="008D5812"/>
    <w:rsid w:val="008E2A1E"/>
    <w:rsid w:val="008F3CF1"/>
    <w:rsid w:val="00911BA5"/>
    <w:rsid w:val="00942023"/>
    <w:rsid w:val="00960BE6"/>
    <w:rsid w:val="00982BC7"/>
    <w:rsid w:val="00A03C21"/>
    <w:rsid w:val="00A146F0"/>
    <w:rsid w:val="00A17517"/>
    <w:rsid w:val="00A5015D"/>
    <w:rsid w:val="00A60066"/>
    <w:rsid w:val="00A63A07"/>
    <w:rsid w:val="00A65EB3"/>
    <w:rsid w:val="00A72ACF"/>
    <w:rsid w:val="00A8066C"/>
    <w:rsid w:val="00AE1CFD"/>
    <w:rsid w:val="00AE2597"/>
    <w:rsid w:val="00B01844"/>
    <w:rsid w:val="00B20ABA"/>
    <w:rsid w:val="00B233D6"/>
    <w:rsid w:val="00B27B83"/>
    <w:rsid w:val="00B579EE"/>
    <w:rsid w:val="00B739EC"/>
    <w:rsid w:val="00B92F05"/>
    <w:rsid w:val="00BD0278"/>
    <w:rsid w:val="00BD4125"/>
    <w:rsid w:val="00BD541B"/>
    <w:rsid w:val="00BE5F2E"/>
    <w:rsid w:val="00BE7026"/>
    <w:rsid w:val="00BF69B0"/>
    <w:rsid w:val="00C00766"/>
    <w:rsid w:val="00C014DE"/>
    <w:rsid w:val="00C2613C"/>
    <w:rsid w:val="00C568A3"/>
    <w:rsid w:val="00C85487"/>
    <w:rsid w:val="00CA3C8E"/>
    <w:rsid w:val="00CC3140"/>
    <w:rsid w:val="00CC7C0C"/>
    <w:rsid w:val="00D06646"/>
    <w:rsid w:val="00D07E47"/>
    <w:rsid w:val="00D3008C"/>
    <w:rsid w:val="00D43D63"/>
    <w:rsid w:val="00D5429D"/>
    <w:rsid w:val="00D61375"/>
    <w:rsid w:val="00D70B3A"/>
    <w:rsid w:val="00D77E45"/>
    <w:rsid w:val="00D930F8"/>
    <w:rsid w:val="00D9478E"/>
    <w:rsid w:val="00DA47C4"/>
    <w:rsid w:val="00DB118C"/>
    <w:rsid w:val="00DD6AA1"/>
    <w:rsid w:val="00DF6C25"/>
    <w:rsid w:val="00E0517E"/>
    <w:rsid w:val="00E33E7B"/>
    <w:rsid w:val="00E41C8C"/>
    <w:rsid w:val="00E45272"/>
    <w:rsid w:val="00E5553E"/>
    <w:rsid w:val="00E76AE7"/>
    <w:rsid w:val="00E87597"/>
    <w:rsid w:val="00EB3724"/>
    <w:rsid w:val="00ED0EC3"/>
    <w:rsid w:val="00F02A23"/>
    <w:rsid w:val="00F06BED"/>
    <w:rsid w:val="00F12339"/>
    <w:rsid w:val="00F139EA"/>
    <w:rsid w:val="00F270A6"/>
    <w:rsid w:val="00F272DA"/>
    <w:rsid w:val="00F427CE"/>
    <w:rsid w:val="00F42901"/>
    <w:rsid w:val="00F433CC"/>
    <w:rsid w:val="00F43C62"/>
    <w:rsid w:val="00F54B84"/>
    <w:rsid w:val="00F60C49"/>
    <w:rsid w:val="00F65CA9"/>
    <w:rsid w:val="00F9128B"/>
    <w:rsid w:val="00FA5189"/>
    <w:rsid w:val="00FA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1AB7"/>
  <w15:chartTrackingRefBased/>
  <w15:docId w15:val="{65EAAF0E-2795-7E41-B524-2160211D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5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5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A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A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7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1D5FD835B9446B85FA1DE3EEEE8AC" ma:contentTypeVersion="15" ma:contentTypeDescription="Create a new document." ma:contentTypeScope="" ma:versionID="979d4548019a5c69cac9355d0453ee0e">
  <xsd:schema xmlns:xsd="http://www.w3.org/2001/XMLSchema" xmlns:xs="http://www.w3.org/2001/XMLSchema" xmlns:p="http://schemas.microsoft.com/office/2006/metadata/properties" xmlns:ns2="5d3ca59a-8eb5-419a-b3a9-d4d8a9f553c7" xmlns:ns3="782e1885-c533-4565-8479-b979db463e7f" targetNamespace="http://schemas.microsoft.com/office/2006/metadata/properties" ma:root="true" ma:fieldsID="48421c1f6d809e49ceeedcfe957e7422" ns2:_="" ns3:_="">
    <xsd:import namespace="5d3ca59a-8eb5-419a-b3a9-d4d8a9f553c7"/>
    <xsd:import namespace="782e1885-c533-4565-8479-b979db463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ca59a-8eb5-419a-b3a9-d4d8a9f5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bdf8ac-2dd9-4cc7-96e8-0f4681ab3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e1885-c533-4565-8479-b979db463e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ce055e2-a007-4710-ace6-b8601da2b69f}" ma:internalName="TaxCatchAll" ma:showField="CatchAllData" ma:web="782e1885-c533-4565-8479-b979db463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ca59a-8eb5-419a-b3a9-d4d8a9f553c7">
      <Terms xmlns="http://schemas.microsoft.com/office/infopath/2007/PartnerControls"/>
    </lcf76f155ced4ddcb4097134ff3c332f>
    <TaxCatchAll xmlns="782e1885-c533-4565-8479-b979db463e7f" xsi:nil="true"/>
  </documentManagement>
</p:properties>
</file>

<file path=customXml/itemProps1.xml><?xml version="1.0" encoding="utf-8"?>
<ds:datastoreItem xmlns:ds="http://schemas.openxmlformats.org/officeDocument/2006/customXml" ds:itemID="{EBFB77C3-A021-436D-A991-413198C74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1D5E5-1EC0-4325-9624-A0A661412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ca59a-8eb5-419a-b3a9-d4d8a9f553c7"/>
    <ds:schemaRef ds:uri="782e1885-c533-4565-8479-b979db463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95CA4-9052-4EDB-A9D0-2DD2E650C3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98172-6171-40E9-A800-D22C4A26F3B5}">
  <ds:schemaRefs>
    <ds:schemaRef ds:uri="http://schemas.microsoft.com/office/2006/metadata/properties"/>
    <ds:schemaRef ds:uri="http://schemas.microsoft.com/office/infopath/2007/PartnerControls"/>
    <ds:schemaRef ds:uri="5d3ca59a-8eb5-419a-b3a9-d4d8a9f553c7"/>
    <ds:schemaRef ds:uri="782e1885-c533-4565-8479-b979db463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760</Words>
  <Characters>4260</Characters>
  <Application>Microsoft Office Word</Application>
  <DocSecurity>0</DocSecurity>
  <Lines>304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Doughty</dc:creator>
  <cp:keywords/>
  <dc:description/>
  <cp:lastModifiedBy>Katie Brase</cp:lastModifiedBy>
  <cp:revision>62</cp:revision>
  <dcterms:created xsi:type="dcterms:W3CDTF">2026-01-29T18:22:00Z</dcterms:created>
  <dcterms:modified xsi:type="dcterms:W3CDTF">2026-03-03T20:39:00Z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0x010100DAE1D5FD835B9446B85FA1DE3EEEE8AC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